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B1" w:rsidRPr="004F74B1" w:rsidRDefault="004F74B1" w:rsidP="004F74B1">
      <w:pPr>
        <w:autoSpaceDE w:val="0"/>
        <w:autoSpaceDN w:val="0"/>
        <w:adjustRightInd w:val="0"/>
        <w:rPr>
          <w:rFonts w:ascii="標楷體" w:eastAsia="標楷體" w:hAnsi="標楷體" w:cs="TT22o00"/>
          <w:kern w:val="0"/>
          <w:sz w:val="32"/>
          <w:szCs w:val="32"/>
        </w:rPr>
      </w:pPr>
      <w:proofErr w:type="gramStart"/>
      <w:r w:rsidRPr="004F74B1">
        <w:rPr>
          <w:rFonts w:ascii="標楷體" w:eastAsia="標楷體" w:hAnsi="標楷體" w:cs="TT22o00" w:hint="eastAsia"/>
          <w:kern w:val="0"/>
          <w:sz w:val="32"/>
          <w:szCs w:val="32"/>
        </w:rPr>
        <w:t>個資法問與</w:t>
      </w:r>
      <w:proofErr w:type="gramEnd"/>
      <w:r w:rsidRPr="004F74B1">
        <w:rPr>
          <w:rFonts w:ascii="標楷體" w:eastAsia="標楷體" w:hAnsi="標楷體" w:cs="TT22o00" w:hint="eastAsia"/>
          <w:kern w:val="0"/>
          <w:sz w:val="32"/>
          <w:szCs w:val="32"/>
        </w:rPr>
        <w:t>答參考資料</w:t>
      </w:r>
    </w:p>
    <w:p w:rsidR="004F74B1" w:rsidRPr="004F74B1" w:rsidRDefault="004F74B1" w:rsidP="004F74B1">
      <w:pPr>
        <w:autoSpaceDE w:val="0"/>
        <w:autoSpaceDN w:val="0"/>
        <w:adjustRightInd w:val="0"/>
        <w:rPr>
          <w:rFonts w:ascii="標楷體" w:eastAsia="標楷體" w:hAnsi="標楷體" w:cs="TT23o00"/>
          <w:kern w:val="0"/>
          <w:sz w:val="32"/>
          <w:szCs w:val="32"/>
        </w:rPr>
      </w:pP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一、【個資法即時通】交通事故之一方請求警察機關提供他方肇事者之個人資料，是否因</w:t>
      </w:r>
      <w:proofErr w:type="gramStart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個</w:t>
      </w:r>
      <w:proofErr w:type="gramEnd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資法施行後皆不得提供？</w:t>
      </w:r>
    </w:p>
    <w:p w:rsidR="004F74B1" w:rsidRPr="004F74B1" w:rsidRDefault="004F74B1" w:rsidP="004F74B1">
      <w:pPr>
        <w:autoSpaceDE w:val="0"/>
        <w:autoSpaceDN w:val="0"/>
        <w:adjustRightInd w:val="0"/>
        <w:rPr>
          <w:rFonts w:ascii="標楷體" w:eastAsia="標楷體" w:hAnsi="標楷體" w:cs="TT23o00"/>
          <w:kern w:val="0"/>
          <w:sz w:val="32"/>
          <w:szCs w:val="32"/>
        </w:rPr>
      </w:pP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張貼日期：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>2012/12/04</w:t>
      </w:r>
    </w:p>
    <w:p w:rsidR="004F74B1" w:rsidRPr="004F74B1" w:rsidRDefault="004F74B1" w:rsidP="004F74B1">
      <w:pPr>
        <w:autoSpaceDE w:val="0"/>
        <w:autoSpaceDN w:val="0"/>
        <w:adjustRightInd w:val="0"/>
        <w:rPr>
          <w:rFonts w:ascii="標楷體" w:eastAsia="標楷體" w:hAnsi="標楷體" w:cs="TT23o00"/>
          <w:kern w:val="0"/>
          <w:sz w:val="32"/>
          <w:szCs w:val="32"/>
        </w:rPr>
      </w:pP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答：依據道路交通管理處罰條例第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92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條第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5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項授權訂定之道路交通事故處理辦法第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13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條第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1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項規定：「道路交通事故案件當事人或利害關係人，得於下列期間向警察機關申請閱覽或提供相關資料：一、於事故現場得申請提供道路交通事故當事人登記聯單。…」因此，交通事故各造當事人之一方為聲請民事調解或和解，向警察機關申請提供他造當事人之個人資料時，警察機關基於「警政」之特定目的內，執行法定職務必要範圍而利用該等個人資料，提供予申請之一方（</w:t>
      </w:r>
      <w:proofErr w:type="gramStart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個</w:t>
      </w:r>
      <w:proofErr w:type="gramEnd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資法第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15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條第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1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款、第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16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條本文參照），並無違反個資法。</w:t>
      </w:r>
    </w:p>
    <w:p w:rsidR="004F74B1" w:rsidRPr="004F74B1" w:rsidRDefault="004F74B1" w:rsidP="004F74B1">
      <w:pPr>
        <w:autoSpaceDE w:val="0"/>
        <w:autoSpaceDN w:val="0"/>
        <w:adjustRightInd w:val="0"/>
        <w:rPr>
          <w:rFonts w:ascii="標楷體" w:eastAsia="標楷體" w:hAnsi="標楷體" w:cs="TT23o00"/>
          <w:kern w:val="0"/>
          <w:sz w:val="32"/>
          <w:szCs w:val="32"/>
        </w:rPr>
      </w:pP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二、【個資法即時通】平常基於社交禮儀，雙方交換名片，是否有個資法適用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>?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張貼日期：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>2012/11/16</w:t>
      </w:r>
    </w:p>
    <w:p w:rsidR="004F74B1" w:rsidRPr="004F74B1" w:rsidRDefault="004F74B1" w:rsidP="004F74B1">
      <w:pPr>
        <w:autoSpaceDE w:val="0"/>
        <w:autoSpaceDN w:val="0"/>
        <w:adjustRightInd w:val="0"/>
        <w:rPr>
          <w:rFonts w:ascii="標楷體" w:eastAsia="標楷體" w:hAnsi="標楷體" w:cs="TT23o00"/>
          <w:kern w:val="0"/>
          <w:sz w:val="32"/>
          <w:szCs w:val="32"/>
        </w:rPr>
      </w:pP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答：</w:t>
      </w:r>
      <w:proofErr w:type="gramStart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個</w:t>
      </w:r>
      <w:proofErr w:type="gramEnd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資法所稱非公務機關雖包括自然人，惟有關自然人為單純個人社交活動而蒐集、處理或利用個人資料，係屬於單純個人活動之私生活目的行為，依個資法第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51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條第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1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項第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>1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款規定，並不適用</w:t>
      </w:r>
      <w:proofErr w:type="gramStart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個</w:t>
      </w:r>
      <w:proofErr w:type="gramEnd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資法。</w:t>
      </w:r>
    </w:p>
    <w:p w:rsidR="004F74B1" w:rsidRPr="004F74B1" w:rsidRDefault="004F74B1" w:rsidP="004F74B1">
      <w:pPr>
        <w:autoSpaceDE w:val="0"/>
        <w:autoSpaceDN w:val="0"/>
        <w:adjustRightInd w:val="0"/>
        <w:rPr>
          <w:rFonts w:ascii="標楷體" w:eastAsia="標楷體" w:hAnsi="標楷體" w:cs="TT23o00"/>
          <w:kern w:val="0"/>
          <w:sz w:val="32"/>
          <w:szCs w:val="32"/>
        </w:rPr>
      </w:pP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三、【個資法即時通】有關性侵害案件經調解成立後，加害人於調解程序與報害人達成登報道歉之合意，日後於登報道歉啟事列出被害人姓名是否有違</w:t>
      </w:r>
      <w:proofErr w:type="gramStart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個</w:t>
      </w:r>
      <w:proofErr w:type="gramEnd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資法之規定？</w:t>
      </w:r>
    </w:p>
    <w:p w:rsidR="004F74B1" w:rsidRPr="004F74B1" w:rsidRDefault="004F74B1" w:rsidP="004F74B1">
      <w:pPr>
        <w:autoSpaceDE w:val="0"/>
        <w:autoSpaceDN w:val="0"/>
        <w:adjustRightInd w:val="0"/>
        <w:rPr>
          <w:rFonts w:ascii="標楷體" w:eastAsia="標楷體" w:hAnsi="標楷體" w:cs="TT23o00"/>
          <w:kern w:val="0"/>
          <w:sz w:val="32"/>
          <w:szCs w:val="32"/>
        </w:rPr>
      </w:pP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lastRenderedPageBreak/>
        <w:t>張貼日期：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>2012/11/23</w:t>
      </w:r>
    </w:p>
    <w:p w:rsidR="004F74B1" w:rsidRPr="004F74B1" w:rsidRDefault="004F74B1" w:rsidP="004F74B1">
      <w:pPr>
        <w:autoSpaceDE w:val="0"/>
        <w:autoSpaceDN w:val="0"/>
        <w:adjustRightInd w:val="0"/>
        <w:rPr>
          <w:rFonts w:ascii="標楷體" w:eastAsia="標楷體" w:hAnsi="標楷體" w:cs="TT23o00"/>
          <w:kern w:val="0"/>
          <w:sz w:val="32"/>
          <w:szCs w:val="32"/>
        </w:rPr>
      </w:pP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答：依性侵害犯罪防治法第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13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條第</w:t>
      </w:r>
      <w:r w:rsidRPr="004F74B1">
        <w:rPr>
          <w:rFonts w:ascii="標楷體" w:eastAsia="標楷體" w:hAnsi="標楷體" w:cs="TT23o00"/>
          <w:kern w:val="0"/>
          <w:sz w:val="32"/>
          <w:szCs w:val="32"/>
        </w:rPr>
        <w:t xml:space="preserve">1 </w:t>
      </w: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項之規定，宣傳品、出版品、廣播、電視、網際網路內容或其他媒體，不得報導或記載被害人之姓名或其他足資辨別被害人身分之資訊；但經有行為能力之被害人同意或犯罪偵查機關依法認為有必要者，不在此限。</w:t>
      </w:r>
      <w:proofErr w:type="gramStart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故性侵害</w:t>
      </w:r>
      <w:proofErr w:type="gramEnd"/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案件加害人於調解程序與被害人達成登報道歉之合意，因該登報之內容已經過有行為能力之被害人同意，符合性侵害犯罪防治法上開規定。又上開規定</w:t>
      </w:r>
    </w:p>
    <w:p w:rsidR="00482180" w:rsidRPr="004F74B1" w:rsidRDefault="004F74B1" w:rsidP="004F74B1">
      <w:pPr>
        <w:rPr>
          <w:rFonts w:ascii="標楷體" w:eastAsia="標楷體" w:hAnsi="標楷體"/>
        </w:rPr>
      </w:pPr>
      <w:r w:rsidRPr="004F74B1">
        <w:rPr>
          <w:rFonts w:ascii="標楷體" w:eastAsia="標楷體" w:hAnsi="標楷體" w:cs="TT23o00" w:hint="eastAsia"/>
          <w:kern w:val="0"/>
          <w:sz w:val="32"/>
          <w:szCs w:val="32"/>
        </w:rPr>
        <w:t>屬個人資料保護法之特別規定，並無違反個資法之虞。</w:t>
      </w:r>
    </w:p>
    <w:sectPr w:rsidR="00482180" w:rsidRPr="004F74B1" w:rsidSect="00DE67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3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799"/>
    <w:rsid w:val="00256FEB"/>
    <w:rsid w:val="002D7E4B"/>
    <w:rsid w:val="0030580B"/>
    <w:rsid w:val="003B7242"/>
    <w:rsid w:val="004000C2"/>
    <w:rsid w:val="00482180"/>
    <w:rsid w:val="004F74B1"/>
    <w:rsid w:val="00501CAB"/>
    <w:rsid w:val="0089388B"/>
    <w:rsid w:val="008E6979"/>
    <w:rsid w:val="00C37A5B"/>
    <w:rsid w:val="00DE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2015-06-16T11:20:00Z</dcterms:created>
  <dcterms:modified xsi:type="dcterms:W3CDTF">2015-06-16T11:20:00Z</dcterms:modified>
</cp:coreProperties>
</file>